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40" w:line="360" w:lineRule="auto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温州市事业单位和领军企业面向全球引进录用博士、硕士和2022届优秀本科毕业生（瓯飞集团）体检</w:t>
      </w:r>
    </w:p>
    <w:p>
      <w:pPr>
        <w:widowControl/>
        <w:adjustRightInd w:val="0"/>
        <w:snapToGrid w:val="0"/>
        <w:spacing w:after="240" w:line="360" w:lineRule="auto"/>
        <w:jc w:val="center"/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有关事项</w:t>
      </w:r>
    </w:p>
    <w:p>
      <w:pPr>
        <w:widowControl/>
        <w:adjustRightInd w:val="0"/>
        <w:snapToGrid w:val="0"/>
        <w:spacing w:after="240" w:line="360" w:lineRule="auto"/>
        <w:jc w:val="both"/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各位体检入围考生：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根据《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温州市事业单位和领军企业面向全球引进录用博士、硕士和2022届优秀本科毕业生公告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》要求，现将体检有关事项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如下：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一、体检项目、标准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体检标准参照人社部、原卫生部、国家公务员局《关于进一步做好公务员考试录用体检工作的通知》(人社部发〔2012〕65号)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人社部、国家卫计委、国家公务员局《关于修订〈公务员录用体检通用标准(试行)〉及〈公务员录用体检操作手册(试行)〉有关内容的通知》(人社部发〔2016〕140号)执行。</w:t>
      </w:r>
    </w:p>
    <w:p>
      <w:pPr>
        <w:widowControl/>
        <w:adjustRightInd w:val="0"/>
        <w:snapToGrid w:val="0"/>
        <w:spacing w:after="240"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二、体检时间及集中地点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参加体检考生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务必于20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）上午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前，到温州市雁荡西路350号开发区大厦（汤家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南路温州大自然家园住宿区东面）一楼大厅报到集中。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三、注意事项 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1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.考生参加体检须做好个人防疫工作，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疫情防控要求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参照《温州市事业单位和领军企业面向全球引进录用博士、硕士和2022届优秀本科毕业生（瓯飞集团）考核防疫要求》(附件1）执行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的考生自备一次性医用外科口罩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携带本人有效身份证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《新冠肺炎疫情防控健康承诺表》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体检费用350元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需带现金，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以体检机构开具的发票为准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。考生按规定时间和地点集中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并出示温州健康码、行程码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，谢绝家属陪同。不按时到指定地点集中的作为自动放弃处理。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拟录用人员如属在职人员，须在体检之前提供所在单位同意参加本次引进录用的书面意见。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严禁弄虚作假、冒名顶替，发现顶替的，取消体检资格。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3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考生携带的通讯工具，必须交由带队人员统一保管，体检结束后领回。体检过程中，如发现考生随身携带通讯工具的，按违纪处理。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4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考生应在《体检表》上如实填写病史，如隐瞒病史影响体检结果的，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后果自负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5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体检前一天请注意休息，勿熬夜，不要饮酒，避免剧烈运动。体检当天需进行采血、B超等检查，请在受检前禁食8-12小时。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6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当日复检或当场复检在体检初检机构进行。</w:t>
      </w: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女性受检者月经期间请勿做妇科及尿液检查，待经期完毕后再补检；怀孕或可能已受孕者，事先告知带队人员，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并提交县级以上人民医院妊娠相关证明，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缓做X光检查。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体检过程中考生须服从带队人员管理，不得擅自离开（包括上洗手间）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不得向医务人员透露涉及本人身份的信息。体检结束，经工作人员同意，在《体检表》封面填写个人信息，并签字确认。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体检结束后，请即开通手机，以便有事联系。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考生对非当日、非当场复检的体检项目结果有异议时，可在接到体检结论通知之日起7日内，向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温州市瓯飞开发建设投资集团有限公司人力资源部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提交书面复检申请，逾期不予受理。复检只进行一次，体检结果以复检结论为准，复检有关费用自理。体检合格人员列为考察对象。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10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体检过程中有舞弊或其它违纪情况的，按有关规定处理。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11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.入围体检人员名单详见温州市人力资源和社会保障局网站。</w:t>
      </w: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温州市瓯飞开发建设投资集团有限公司</w:t>
      </w:r>
      <w:r>
        <w:rPr>
          <w:rFonts w:hint="eastAsia" w:ascii="仿宋" w:hAnsi="仿宋" w:eastAsia="仿宋"/>
          <w:sz w:val="32"/>
          <w:szCs w:val="32"/>
        </w:rPr>
        <w:t>：0577-8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8962303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default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1.温州市事业单位和领军企业面向全球 引进录用博士、硕士和2022届优秀本科毕业生（瓯飞集团）考核防疫要求</w:t>
      </w:r>
    </w:p>
    <w:p>
      <w:pPr>
        <w:widowControl/>
        <w:adjustRightInd w:val="0"/>
        <w:snapToGrid w:val="0"/>
        <w:spacing w:after="240" w:line="360" w:lineRule="auto"/>
        <w:ind w:firstLine="1600" w:firstLineChars="500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2.新冠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肺炎疫情防控健康承诺表</w:t>
      </w: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温州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市瓯飞开发建设投资集团有限公司</w:t>
      </w:r>
    </w:p>
    <w:p>
      <w:pPr>
        <w:widowControl/>
        <w:adjustRightInd w:val="0"/>
        <w:snapToGrid w:val="0"/>
        <w:spacing w:line="360" w:lineRule="auto"/>
        <w:ind w:firstLine="4480" w:firstLineChars="1400"/>
        <w:jc w:val="both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bookmarkEnd w:id="0"/>
    <w:p>
      <w:pPr>
        <w:widowControl/>
        <w:numPr>
          <w:ilvl w:val="0"/>
          <w:numId w:val="0"/>
        </w:numPr>
        <w:adjustRightInd w:val="0"/>
        <w:snapToGrid w:val="0"/>
        <w:spacing w:after="240" w:line="360" w:lineRule="auto"/>
        <w:ind w:leftChars="800"/>
        <w:jc w:val="both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ind w:firstLine="710" w:firstLineChars="222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240" w:line="360" w:lineRule="auto"/>
        <w:jc w:val="both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温州市事业单位和领军企业面向全球引进录用博士、硕士和2022届优秀本科毕业生（瓯飞集团）考核防疫要求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根据疫情防控工作有关要求，参加本次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考核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的考生应提前申请“温州健康码”和“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行程码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。“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温州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健康码”绿码、“行程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”绿码；提供本人当天实际参加的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前48小时内新冠肺炎病毒核酸检测阴性报告；现场测温37.3℃以下（允许间隔2-3分钟再测一次）。高于37.3℃的，应提供当天实际参加的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前24小时内新冠肺炎病毒核酸检测阴性报告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满足以上条件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考生可参加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</w:rPr>
        <w:t>。“健康码”为绿码但出现相关症状的考生，应当主动到定点医院检测排查。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的考生应自备一次性医用外科口罩。“温州健康码”和“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行程码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”非绿码、近期由中高风险地区返回人员以及既往新冠肺炎感染者、密切接触者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期间全程佩戴口罩。其他考生通过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入口时应戴口罩，在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体检过程中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自主决定是否戴口罩。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期间若出现相关症状者，应立即戴好一次性医用外科口罩，做好个人防护。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考生应当服从配合疫情防控要求和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现场组织工作。经现场医务人员确认有可疑症状的考生，应配合安排隔离或就诊。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考生应当切实增强疫情防控意识，做好个人防护工作。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在浙做好准备。</w:t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新冠肺炎疫情防控健康承诺表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textAlignment w:val="auto"/>
        <w:rPr>
          <w:rFonts w:hint="eastAsia"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基本信息</w:t>
      </w:r>
    </w:p>
    <w:tbl>
      <w:tblPr>
        <w:tblStyle w:val="5"/>
        <w:tblpPr w:leftFromText="180" w:rightFromText="180" w:vertAnchor="text" w:horzAnchor="page" w:tblpX="1629" w:tblpY="33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天居住地址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二、流行病学史（至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bCs/>
          <w:sz w:val="24"/>
          <w:szCs w:val="24"/>
        </w:rPr>
        <w:t>月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4"/>
          <w:szCs w:val="24"/>
        </w:rPr>
        <w:t>日，此前14天）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/>
          <w:sz w:val="24"/>
          <w:szCs w:val="24"/>
        </w:rPr>
        <w:t>是否到过新型冠状病毒肺炎重点防控地区？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pacing w:val="-11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是否接触过</w:t>
      </w:r>
      <w:r>
        <w:rPr>
          <w:rFonts w:hint="eastAsia" w:ascii="Times New Roman" w:hAnsi="Times New Roman" w:eastAsia="仿宋_GB2312"/>
          <w:sz w:val="24"/>
          <w:szCs w:val="24"/>
        </w:rPr>
        <w:t>重点防控地区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的发热或有呼吸道症状患者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3. </w:t>
      </w:r>
      <w:r>
        <w:rPr>
          <w:rFonts w:hint="eastAsia" w:ascii="Times New Roman" w:hAnsi="Times New Roman" w:eastAsia="仿宋_GB2312"/>
          <w:sz w:val="24"/>
          <w:szCs w:val="24"/>
        </w:rPr>
        <w:t>是否曾接触过疫情</w:t>
      </w:r>
      <w:r>
        <w:rPr>
          <w:rFonts w:ascii="Times New Roman" w:hAnsi="Times New Roman" w:eastAsia="仿宋_GB2312"/>
          <w:sz w:val="24"/>
          <w:szCs w:val="24"/>
        </w:rPr>
        <w:t>“</w:t>
      </w:r>
      <w:r>
        <w:rPr>
          <w:rFonts w:hint="eastAsia" w:ascii="Times New Roman" w:hAnsi="Times New Roman" w:eastAsia="仿宋_GB2312"/>
          <w:sz w:val="24"/>
          <w:szCs w:val="24"/>
        </w:rPr>
        <w:t>五类人员</w:t>
      </w:r>
      <w:r>
        <w:rPr>
          <w:rFonts w:ascii="Times New Roman" w:hAnsi="Times New Roman" w:eastAsia="仿宋_GB2312"/>
          <w:sz w:val="24"/>
          <w:szCs w:val="24"/>
        </w:rPr>
        <w:t>”(</w:t>
      </w:r>
      <w:r>
        <w:rPr>
          <w:rFonts w:hint="eastAsia" w:ascii="Times New Roman" w:hAnsi="Times New Roman" w:eastAsia="仿宋_GB2312"/>
          <w:sz w:val="24"/>
          <w:szCs w:val="24"/>
        </w:rPr>
        <w:t>确诊病例、疑似病例、无症状感染者、发热症状者、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密切接触者</w:t>
      </w:r>
      <w:r>
        <w:rPr>
          <w:rFonts w:ascii="Times New Roman" w:hAnsi="Times New Roman" w:eastAsia="仿宋_GB2312"/>
          <w:sz w:val="24"/>
          <w:szCs w:val="24"/>
        </w:rPr>
        <w:t xml:space="preserve">) 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是，我接触的是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4. </w:t>
      </w:r>
      <w:r>
        <w:rPr>
          <w:rFonts w:hint="eastAsia" w:ascii="Times New Roman" w:hAnsi="Times New Roman" w:eastAsia="仿宋_GB2312"/>
          <w:sz w:val="24"/>
          <w:szCs w:val="24"/>
        </w:rPr>
        <w:t>本人此前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天是否出现发热、干咳等症状？否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是，症状是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5. </w:t>
      </w:r>
      <w:r>
        <w:rPr>
          <w:rFonts w:hint="eastAsia" w:ascii="Times New Roman" w:hAnsi="Times New Roman" w:eastAsia="仿宋_GB2312"/>
          <w:sz w:val="24"/>
          <w:szCs w:val="24"/>
        </w:rPr>
        <w:t>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天同住人员有无出现发热、干咳等症状？无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有（请描述患者姓名、与申报人关系及诊治情况）：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zh-CN"/>
        </w:rPr>
        <w:t>三、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体检</w:t>
      </w:r>
      <w:r>
        <w:rPr>
          <w:rFonts w:hint="eastAsia" w:ascii="黑体" w:hAnsi="黑体" w:eastAsia="黑体" w:cs="黑体"/>
          <w:bCs/>
          <w:sz w:val="24"/>
          <w:szCs w:val="24"/>
          <w:lang w:val="zh-CN"/>
        </w:rPr>
        <w:t>前14天本人健康监测情况</w:t>
      </w:r>
    </w:p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57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干咳、乏力、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6月21日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6月22日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6月23日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6月24日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6月25日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6月26日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6月27日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6月28日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6月29日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6月30日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7月2日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7月3日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7月4日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本人承诺：</w:t>
      </w:r>
      <w:r>
        <w:rPr>
          <w:rFonts w:hint="eastAsia" w:ascii="Times New Roman" w:hAnsi="Times New Roman" w:eastAsia="仿宋_GB2312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。（本句手写下行空白处）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承诺人签名：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日期：</w:t>
      </w:r>
      <w:r>
        <w:rPr>
          <w:rFonts w:ascii="Times New Roman" w:hAnsi="Times New Roman" w:eastAsia="仿宋_GB2312"/>
          <w:sz w:val="24"/>
          <w:szCs w:val="24"/>
        </w:rPr>
        <w:t>202</w:t>
      </w:r>
      <w:r>
        <w:rPr>
          <w:rFonts w:hint="eastAsia" w:eastAsia="仿宋_GB2312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/>
          <w:sz w:val="24"/>
          <w:szCs w:val="24"/>
        </w:rPr>
        <w:t>年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月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日</w:t>
      </w:r>
    </w:p>
    <w:p>
      <w:pPr>
        <w:widowControl/>
        <w:adjustRightInd w:val="0"/>
        <w:snapToGrid w:val="0"/>
        <w:spacing w:line="360" w:lineRule="auto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54BA4"/>
    <w:multiLevelType w:val="singleLevel"/>
    <w:tmpl w:val="76354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ODUyYmQwM2Q5YjU3MmYxODBiMjQxNjZlMzQzNjIifQ=="/>
  </w:docVars>
  <w:rsids>
    <w:rsidRoot w:val="00CB5CDE"/>
    <w:rsid w:val="000C73CA"/>
    <w:rsid w:val="000F4D36"/>
    <w:rsid w:val="0026448F"/>
    <w:rsid w:val="00331BD3"/>
    <w:rsid w:val="00385C64"/>
    <w:rsid w:val="003F2070"/>
    <w:rsid w:val="004F0083"/>
    <w:rsid w:val="00504BCB"/>
    <w:rsid w:val="005A3DF7"/>
    <w:rsid w:val="00624D23"/>
    <w:rsid w:val="007600D1"/>
    <w:rsid w:val="007B44FF"/>
    <w:rsid w:val="00833F61"/>
    <w:rsid w:val="008F3E7A"/>
    <w:rsid w:val="00C158F8"/>
    <w:rsid w:val="00C95E8C"/>
    <w:rsid w:val="00CB5CDE"/>
    <w:rsid w:val="00DB2545"/>
    <w:rsid w:val="00F31F97"/>
    <w:rsid w:val="00F4166C"/>
    <w:rsid w:val="00F83841"/>
    <w:rsid w:val="00FC0057"/>
    <w:rsid w:val="00FE5C9B"/>
    <w:rsid w:val="01F36BD3"/>
    <w:rsid w:val="04552953"/>
    <w:rsid w:val="0F971D53"/>
    <w:rsid w:val="101105E9"/>
    <w:rsid w:val="10F365F9"/>
    <w:rsid w:val="118B1AE5"/>
    <w:rsid w:val="1A93345E"/>
    <w:rsid w:val="1BF24441"/>
    <w:rsid w:val="1D2E719A"/>
    <w:rsid w:val="1DF35713"/>
    <w:rsid w:val="23E9370E"/>
    <w:rsid w:val="258A3C7D"/>
    <w:rsid w:val="27A178FE"/>
    <w:rsid w:val="28AC6928"/>
    <w:rsid w:val="28C54DC5"/>
    <w:rsid w:val="2A443F43"/>
    <w:rsid w:val="2C37240A"/>
    <w:rsid w:val="2C577232"/>
    <w:rsid w:val="36D57B8E"/>
    <w:rsid w:val="38E96CCF"/>
    <w:rsid w:val="3A185BDA"/>
    <w:rsid w:val="3AB448C0"/>
    <w:rsid w:val="3E813B80"/>
    <w:rsid w:val="40843256"/>
    <w:rsid w:val="40990E1A"/>
    <w:rsid w:val="43AC4616"/>
    <w:rsid w:val="44055C81"/>
    <w:rsid w:val="474951ED"/>
    <w:rsid w:val="4E3D73E0"/>
    <w:rsid w:val="50CB3857"/>
    <w:rsid w:val="55703E2B"/>
    <w:rsid w:val="56433CA6"/>
    <w:rsid w:val="567E2DCD"/>
    <w:rsid w:val="59F03FF5"/>
    <w:rsid w:val="5B883DD7"/>
    <w:rsid w:val="5B955291"/>
    <w:rsid w:val="5CD0035E"/>
    <w:rsid w:val="60F90165"/>
    <w:rsid w:val="61F14CC1"/>
    <w:rsid w:val="6D332C7B"/>
    <w:rsid w:val="6EC03392"/>
    <w:rsid w:val="70C455E2"/>
    <w:rsid w:val="7BB53E3A"/>
    <w:rsid w:val="DF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FFFFFF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character" w:styleId="11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6"/>
    <w:semiHidden/>
    <w:unhideWhenUsed/>
    <w:qFormat/>
    <w:uiPriority w:val="99"/>
  </w:style>
  <w:style w:type="character" w:customStyle="1" w:styleId="13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2513</Words>
  <Characters>2615</Characters>
  <Lines>9</Lines>
  <Paragraphs>2</Paragraphs>
  <TotalTime>1</TotalTime>
  <ScaleCrop>false</ScaleCrop>
  <LinksUpToDate>false</LinksUpToDate>
  <CharactersWithSpaces>2807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2017-11-10T17:11:00Z</dcterms:created>
  <dc:creator>tx</dc:creator>
  <cp:lastModifiedBy>ee1</cp:lastModifiedBy>
  <cp:lastPrinted>2017-12-19T15:35:00Z</cp:lastPrinted>
  <dcterms:modified xsi:type="dcterms:W3CDTF">2022-07-04T08:15:53Z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727AAC6933E94A56ABC31AEF124E1687</vt:lpwstr>
  </property>
</Properties>
</file>